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7634"/>
      </w:tblGrid>
      <w:tr w:rsidR="00FE7522" w:rsidRPr="005D3D5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FE7522" w:rsidRDefault="003B42E0">
            <w:pPr>
              <w:pStyle w:val="Textopadro"/>
              <w:rPr>
                <w:sz w:val="20"/>
                <w:highlight w:val="white"/>
              </w:rPr>
            </w:pPr>
            <w:r>
              <w:rPr>
                <w:noProof/>
                <w:lang w:val="pt-BR"/>
              </w:rPr>
              <w:drawing>
                <wp:inline distT="0" distB="0" distL="0" distR="0">
                  <wp:extent cx="590550" cy="838200"/>
                  <wp:effectExtent l="19050" t="19050" r="19050" b="1905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838200"/>
                          </a:xfrm>
                          <a:prstGeom prst="rect">
                            <a:avLst/>
                          </a:prstGeom>
                          <a:noFill/>
                          <a:ln w="127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4" w:type="dxa"/>
            <w:tcBorders>
              <w:top w:val="nil"/>
              <w:left w:val="nil"/>
              <w:bottom w:val="nil"/>
              <w:right w:val="nil"/>
            </w:tcBorders>
          </w:tcPr>
          <w:p w:rsidR="00FE7522" w:rsidRDefault="00FE7522">
            <w:pPr>
              <w:shd w:val="clear" w:color="000000" w:fill="FFFFFF"/>
              <w:jc w:val="both"/>
              <w:rPr>
                <w:rFonts w:ascii="Arial" w:hAnsi="Arial"/>
                <w:b/>
                <w:sz w:val="22"/>
                <w:highlight w:val="white"/>
              </w:rPr>
            </w:pPr>
          </w:p>
          <w:p w:rsidR="00FE7522" w:rsidRDefault="00FE7522">
            <w:pPr>
              <w:shd w:val="clear" w:color="000000" w:fill="FFFFFF"/>
              <w:jc w:val="both"/>
              <w:rPr>
                <w:rFonts w:ascii="Arial" w:hAnsi="Arial"/>
                <w:b/>
                <w:sz w:val="24"/>
                <w:highlight w:val="white"/>
              </w:rPr>
            </w:pPr>
            <w:r>
              <w:rPr>
                <w:rFonts w:ascii="Arial" w:hAnsi="Arial"/>
                <w:b/>
                <w:sz w:val="24"/>
                <w:highlight w:val="white"/>
              </w:rPr>
              <w:t>ESTADO DE SANTA CATARINA</w:t>
            </w:r>
          </w:p>
          <w:p w:rsidR="00FE7522" w:rsidRDefault="00FE7522">
            <w:pPr>
              <w:shd w:val="clear" w:color="000000" w:fill="FFFFFF"/>
              <w:jc w:val="both"/>
              <w:rPr>
                <w:rFonts w:ascii="Arial" w:hAnsi="Arial"/>
                <w:b/>
                <w:sz w:val="24"/>
                <w:highlight w:val="white"/>
              </w:rPr>
            </w:pPr>
            <w:r>
              <w:rPr>
                <w:rFonts w:ascii="Arial" w:hAnsi="Arial"/>
                <w:b/>
                <w:sz w:val="24"/>
                <w:highlight w:val="white"/>
              </w:rPr>
              <w:t>TRIBUNAL DE CONTAS DO ESTADO</w:t>
            </w:r>
          </w:p>
          <w:p w:rsidR="00FE7522" w:rsidRDefault="00FE7522">
            <w:pPr>
              <w:pStyle w:val="Ttulo7"/>
              <w:shd w:val="clear" w:color="000000" w:fill="FFFFFF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highlight w:val="white"/>
              </w:rPr>
              <w:t>DIRETORIA DE ADMINISTRAÇÃO E FINANÇAS</w:t>
            </w:r>
          </w:p>
        </w:tc>
      </w:tr>
    </w:tbl>
    <w:p w:rsidR="00FE7522" w:rsidRDefault="00FE7522">
      <w:pPr>
        <w:shd w:val="clear" w:color="000000" w:fill="FFFFFF"/>
        <w:tabs>
          <w:tab w:val="left" w:pos="-3828"/>
        </w:tabs>
        <w:jc w:val="both"/>
        <w:rPr>
          <w:rFonts w:ascii="Arial" w:hAnsi="Arial"/>
          <w:sz w:val="22"/>
          <w:highlight w:val="white"/>
        </w:rPr>
      </w:pPr>
    </w:p>
    <w:p w:rsidR="00FE7522" w:rsidRDefault="00FE7522">
      <w:pPr>
        <w:shd w:val="clear" w:color="000000" w:fill="FFFFFF"/>
        <w:tabs>
          <w:tab w:val="left" w:pos="-3828"/>
          <w:tab w:val="left" w:pos="-2880"/>
          <w:tab w:val="left" w:pos="-2834"/>
        </w:tabs>
        <w:jc w:val="both"/>
        <w:rPr>
          <w:rFonts w:ascii="Arial" w:hAnsi="Arial"/>
          <w:sz w:val="22"/>
          <w:highlight w:val="white"/>
        </w:rPr>
      </w:pPr>
      <w:r>
        <w:rPr>
          <w:rFonts w:ascii="Arial" w:hAnsi="Arial"/>
          <w:sz w:val="22"/>
          <w:highlight w:val="white"/>
        </w:rPr>
        <w:tab/>
      </w:r>
      <w:r>
        <w:rPr>
          <w:rFonts w:ascii="Arial" w:hAnsi="Arial"/>
          <w:sz w:val="22"/>
          <w:highlight w:val="white"/>
        </w:rPr>
        <w:tab/>
      </w:r>
      <w:r>
        <w:rPr>
          <w:rFonts w:ascii="Arial" w:hAnsi="Arial"/>
          <w:sz w:val="22"/>
          <w:highlight w:val="white"/>
        </w:rPr>
        <w:tab/>
      </w:r>
    </w:p>
    <w:p w:rsidR="00FE7522" w:rsidRDefault="00FE7522">
      <w:pPr>
        <w:shd w:val="clear" w:color="000000" w:fill="FFFFFF"/>
        <w:tabs>
          <w:tab w:val="left" w:pos="-3828"/>
          <w:tab w:val="left" w:pos="-2880"/>
          <w:tab w:val="left" w:pos="-2834"/>
        </w:tabs>
        <w:jc w:val="both"/>
        <w:rPr>
          <w:rFonts w:ascii="Arial" w:hAnsi="Arial"/>
          <w:sz w:val="22"/>
          <w:highlight w:val="white"/>
        </w:rPr>
      </w:pPr>
      <w:r>
        <w:rPr>
          <w:rFonts w:ascii="Arial" w:hAnsi="Arial"/>
          <w:sz w:val="22"/>
          <w:highlight w:val="white"/>
        </w:rPr>
        <w:tab/>
      </w:r>
      <w:r>
        <w:rPr>
          <w:rFonts w:ascii="Arial" w:hAnsi="Arial"/>
          <w:sz w:val="22"/>
          <w:highlight w:val="white"/>
        </w:rPr>
        <w:tab/>
      </w:r>
      <w:r>
        <w:rPr>
          <w:rFonts w:ascii="Arial" w:hAnsi="Arial"/>
          <w:sz w:val="22"/>
          <w:highlight w:val="white"/>
        </w:rPr>
        <w:tab/>
      </w:r>
    </w:p>
    <w:p w:rsidR="00FE7522" w:rsidRDefault="00FE7522">
      <w:pPr>
        <w:shd w:val="clear" w:color="000000" w:fill="FFFFFF"/>
        <w:tabs>
          <w:tab w:val="left" w:pos="-3828"/>
          <w:tab w:val="left" w:pos="-2880"/>
          <w:tab w:val="left" w:pos="-2834"/>
        </w:tabs>
        <w:ind w:firstLine="2880"/>
        <w:jc w:val="both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COMUNICADO</w:t>
      </w:r>
    </w:p>
    <w:p w:rsidR="00FE7522" w:rsidRDefault="00FE7522">
      <w:pPr>
        <w:shd w:val="clear" w:color="000000" w:fill="FFFFFF"/>
        <w:tabs>
          <w:tab w:val="left" w:pos="-3828"/>
          <w:tab w:val="left" w:pos="-2880"/>
          <w:tab w:val="left" w:pos="-2834"/>
        </w:tabs>
        <w:jc w:val="both"/>
        <w:rPr>
          <w:rFonts w:ascii="Arial" w:hAnsi="Arial"/>
          <w:b/>
          <w:sz w:val="36"/>
        </w:rPr>
      </w:pPr>
    </w:p>
    <w:p w:rsidR="00FE7522" w:rsidRDefault="00FE7522">
      <w:pPr>
        <w:shd w:val="clear" w:color="000000" w:fill="FFFFFF"/>
        <w:tabs>
          <w:tab w:val="left" w:pos="-3828"/>
          <w:tab w:val="left" w:pos="-2880"/>
          <w:tab w:val="left" w:pos="-2834"/>
        </w:tabs>
        <w:jc w:val="both"/>
        <w:rPr>
          <w:rFonts w:ascii="Arial" w:hAnsi="Arial"/>
          <w:b/>
          <w:sz w:val="36"/>
        </w:rPr>
      </w:pPr>
    </w:p>
    <w:p w:rsidR="00FE7522" w:rsidRDefault="00FE7522">
      <w:pPr>
        <w:shd w:val="clear" w:color="000000" w:fill="FFFFFF"/>
        <w:tabs>
          <w:tab w:val="left" w:pos="-3828"/>
          <w:tab w:val="left" w:pos="-2880"/>
          <w:tab w:val="left" w:pos="-2834"/>
        </w:tabs>
        <w:ind w:firstLine="288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 DIRETOR DE ADMINISTRAÇÃO E FINANÇAS</w:t>
      </w:r>
      <w:r w:rsidR="005D3D57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comunica que deverá promover o desconto da contribuição sindical dos servidores, com o correspondente recolhimento à organização sindical, no mês de março de 201</w:t>
      </w:r>
      <w:r w:rsidR="00391F07">
        <w:rPr>
          <w:rFonts w:ascii="Arial" w:hAnsi="Arial"/>
          <w:sz w:val="24"/>
        </w:rPr>
        <w:t>3</w:t>
      </w:r>
      <w:r w:rsidR="005D3D57"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 xml:space="preserve"> </w:t>
      </w:r>
    </w:p>
    <w:p w:rsidR="00FE7522" w:rsidRDefault="00FE7522">
      <w:pPr>
        <w:shd w:val="clear" w:color="000000" w:fill="FFFFFF"/>
        <w:tabs>
          <w:tab w:val="left" w:pos="-3828"/>
          <w:tab w:val="left" w:pos="-2880"/>
          <w:tab w:val="left" w:pos="-2834"/>
        </w:tabs>
        <w:ind w:firstLine="288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 contribuição sindical é devida apenas pelos servidores ativos, efetivos e em comissão, que se encontram no quadro de pessoal do Tribunal de Contas no mês de março de 201</w:t>
      </w:r>
      <w:r w:rsidR="00391F07">
        <w:rPr>
          <w:rFonts w:ascii="Arial" w:hAnsi="Arial"/>
          <w:sz w:val="24"/>
        </w:rPr>
        <w:t>3</w:t>
      </w:r>
      <w:r>
        <w:rPr>
          <w:rFonts w:ascii="Arial" w:hAnsi="Arial"/>
          <w:sz w:val="24"/>
        </w:rPr>
        <w:t>.</w:t>
      </w:r>
    </w:p>
    <w:p w:rsidR="00FE7522" w:rsidRDefault="00FE7522">
      <w:pPr>
        <w:shd w:val="clear" w:color="000000" w:fill="FFFFFF"/>
        <w:tabs>
          <w:tab w:val="left" w:pos="-3828"/>
          <w:tab w:val="left" w:pos="-2880"/>
          <w:tab w:val="left" w:pos="-2834"/>
        </w:tabs>
        <w:ind w:firstLine="2880"/>
        <w:jc w:val="both"/>
        <w:rPr>
          <w:rFonts w:ascii="Arial" w:hAnsi="Arial"/>
          <w:sz w:val="24"/>
        </w:rPr>
      </w:pPr>
    </w:p>
    <w:p w:rsidR="00FE7522" w:rsidRDefault="00FE7522">
      <w:pPr>
        <w:shd w:val="clear" w:color="000000" w:fill="FFFFFF"/>
        <w:tabs>
          <w:tab w:val="left" w:pos="-3828"/>
          <w:tab w:val="left" w:pos="-2880"/>
          <w:tab w:val="left" w:pos="-2834"/>
        </w:tabs>
        <w:ind w:firstLine="288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Também chamada de imposto sindical, está prevista no artigo 578 da CLT, inicialmente devida somente aos trabalhadores regidos pelo sistema celetista; atualmente, vem sendo aplicada também aos servidores públicos, incluindo os estatutários, em face de decisões do Supremo Tribunal Federal e do Superior Tribunal de Justiça.</w:t>
      </w:r>
    </w:p>
    <w:p w:rsidR="00FE7522" w:rsidRDefault="00FE7522">
      <w:pPr>
        <w:shd w:val="clear" w:color="000000" w:fill="FFFFFF"/>
        <w:tabs>
          <w:tab w:val="left" w:pos="-3828"/>
          <w:tab w:val="left" w:pos="-2880"/>
          <w:tab w:val="left" w:pos="-2834"/>
        </w:tabs>
        <w:ind w:firstLine="2880"/>
        <w:jc w:val="both"/>
        <w:rPr>
          <w:rFonts w:ascii="Arial" w:hAnsi="Arial"/>
          <w:sz w:val="24"/>
        </w:rPr>
      </w:pPr>
    </w:p>
    <w:p w:rsidR="00FE7522" w:rsidRDefault="00FE7522">
      <w:pPr>
        <w:shd w:val="clear" w:color="000000" w:fill="FFFFFF"/>
        <w:tabs>
          <w:tab w:val="left" w:pos="-3828"/>
          <w:tab w:val="left" w:pos="-2880"/>
          <w:tab w:val="left" w:pos="-2834"/>
        </w:tabs>
        <w:ind w:firstLine="288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Esta contribuição corresponde a um dia de trabalho (1/30 avos) referente ao mês de março, tendo como base de cálculo a remuneração bruta, deduzidas, apenas, as parcelas de natureza indenizatória, tais como o abono alimentação e 1/3 de férias. </w:t>
      </w:r>
    </w:p>
    <w:p w:rsidR="00FE7522" w:rsidRDefault="00FE7522">
      <w:pPr>
        <w:shd w:val="clear" w:color="000000" w:fill="FFFFFF"/>
        <w:tabs>
          <w:tab w:val="left" w:pos="-3828"/>
          <w:tab w:val="left" w:pos="-2880"/>
          <w:tab w:val="left" w:pos="-2834"/>
        </w:tabs>
        <w:ind w:firstLine="2880"/>
        <w:jc w:val="both"/>
        <w:rPr>
          <w:rFonts w:ascii="Arial" w:hAnsi="Arial"/>
          <w:sz w:val="24"/>
        </w:rPr>
      </w:pPr>
    </w:p>
    <w:p w:rsidR="00FE7522" w:rsidRDefault="00FE7522">
      <w:pPr>
        <w:shd w:val="clear" w:color="000000" w:fill="FFFFFF"/>
        <w:tabs>
          <w:tab w:val="left" w:pos="-3828"/>
          <w:tab w:val="left" w:pos="-2880"/>
          <w:tab w:val="left" w:pos="-2834"/>
        </w:tabs>
        <w:ind w:firstLine="288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 servidor do Tribunal de Contas pode ficar dispensado da retenção da contribuição sindical nas seguintes hipóteses:</w:t>
      </w:r>
    </w:p>
    <w:p w:rsidR="00FE7522" w:rsidRDefault="00FE7522">
      <w:pPr>
        <w:shd w:val="clear" w:color="000000" w:fill="FFFFFF"/>
        <w:tabs>
          <w:tab w:val="left" w:pos="-3828"/>
          <w:tab w:val="left" w:pos="-2880"/>
          <w:tab w:val="left" w:pos="-2834"/>
        </w:tabs>
        <w:ind w:firstLine="2880"/>
        <w:jc w:val="both"/>
        <w:rPr>
          <w:rFonts w:ascii="Arial" w:hAnsi="Arial"/>
          <w:sz w:val="24"/>
        </w:rPr>
      </w:pPr>
    </w:p>
    <w:p w:rsidR="00FE7522" w:rsidRDefault="00FE7522" w:rsidP="00297134">
      <w:pPr>
        <w:numPr>
          <w:ilvl w:val="12"/>
          <w:numId w:val="0"/>
        </w:numPr>
        <w:shd w:val="clear" w:color="000000" w:fill="FFFFFF"/>
        <w:tabs>
          <w:tab w:val="left" w:pos="-3828"/>
          <w:tab w:val="left" w:pos="-2880"/>
          <w:tab w:val="left" w:pos="-283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a) quando tenha registro na Ordem dos Advogados do Brasil (OAB), desde que comprove o pagamento da anuidade referente ao exercício de 201</w:t>
      </w:r>
      <w:r w:rsidR="00391F07">
        <w:rPr>
          <w:rFonts w:ascii="Arial" w:hAnsi="Arial"/>
          <w:sz w:val="24"/>
        </w:rPr>
        <w:t>3</w:t>
      </w:r>
      <w:r>
        <w:rPr>
          <w:rFonts w:ascii="Arial" w:hAnsi="Arial"/>
          <w:sz w:val="24"/>
        </w:rPr>
        <w:t>;</w:t>
      </w:r>
    </w:p>
    <w:p w:rsidR="00FE7522" w:rsidRDefault="00FE7522" w:rsidP="00297134">
      <w:pPr>
        <w:numPr>
          <w:ilvl w:val="12"/>
          <w:numId w:val="0"/>
        </w:numPr>
        <w:shd w:val="clear" w:color="000000" w:fill="FFFFFF"/>
        <w:tabs>
          <w:tab w:val="left" w:pos="-3828"/>
          <w:tab w:val="left" w:pos="-2880"/>
          <w:tab w:val="left" w:pos="-2834"/>
        </w:tabs>
        <w:jc w:val="both"/>
        <w:rPr>
          <w:rFonts w:ascii="Arial" w:hAnsi="Arial"/>
          <w:sz w:val="24"/>
        </w:rPr>
      </w:pPr>
    </w:p>
    <w:p w:rsidR="00FE7522" w:rsidRDefault="00FE7522" w:rsidP="00297134">
      <w:pPr>
        <w:numPr>
          <w:ilvl w:val="12"/>
          <w:numId w:val="0"/>
        </w:numPr>
        <w:shd w:val="clear" w:color="000000" w:fill="FFFFFF"/>
        <w:tabs>
          <w:tab w:val="left" w:pos="-3828"/>
          <w:tab w:val="left" w:pos="-2880"/>
          <w:tab w:val="left" w:pos="-283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b) se pertencer a qualquer das profissões regulamentadas</w:t>
      </w:r>
      <w:r w:rsidR="005D3D57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(veja as profissões em </w:t>
      </w:r>
      <w:hyperlink r:id="rId7" w:history="1">
        <w:r w:rsidR="008C1E24" w:rsidRPr="00EE226F">
          <w:rPr>
            <w:rStyle w:val="Hyperlink"/>
            <w:rFonts w:ascii="Arial" w:hAnsi="Arial"/>
          </w:rPr>
          <w:t>http://www.mtecbo.gov.br/cbosite/pages/regulamentacao.jsf</w:t>
        </w:r>
      </w:hyperlink>
      <w:r w:rsidR="008C1E24">
        <w:rPr>
          <w:rFonts w:ascii="Arial" w:hAnsi="Arial"/>
          <w:sz w:val="24"/>
        </w:rPr>
        <w:t xml:space="preserve">), </w:t>
      </w:r>
      <w:r>
        <w:rPr>
          <w:rFonts w:ascii="Arial" w:hAnsi="Arial"/>
          <w:sz w:val="24"/>
        </w:rPr>
        <w:t>desde que comprove o pagamento da contribuição sindical ao sindicato da sua categoria</w:t>
      </w:r>
      <w:proofErr w:type="gramStart"/>
      <w:r w:rsidR="00391F07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 </w:t>
      </w:r>
      <w:proofErr w:type="gramEnd"/>
      <w:r w:rsidR="00391F07">
        <w:rPr>
          <w:rFonts w:ascii="Arial" w:hAnsi="Arial"/>
          <w:sz w:val="24"/>
        </w:rPr>
        <w:t>(</w:t>
      </w:r>
      <w:r>
        <w:rPr>
          <w:rFonts w:ascii="Arial" w:hAnsi="Arial"/>
          <w:sz w:val="24"/>
        </w:rPr>
        <w:t>ex: sindicato dos engenheiros, sindicato dos administradores, sindicato dos economistas, etc.), referente ao ano de 201</w:t>
      </w:r>
      <w:r w:rsidR="00391F07">
        <w:rPr>
          <w:rFonts w:ascii="Arial" w:hAnsi="Arial"/>
          <w:sz w:val="24"/>
        </w:rPr>
        <w:t>3</w:t>
      </w:r>
      <w:r>
        <w:rPr>
          <w:rFonts w:ascii="Arial" w:hAnsi="Arial"/>
          <w:sz w:val="24"/>
        </w:rPr>
        <w:t>. O comprovante de recolhimento da anuidade ao Conselho da profissão não dispensa a retenção.</w:t>
      </w:r>
    </w:p>
    <w:p w:rsidR="00FE7522" w:rsidRDefault="00FE7522" w:rsidP="00297134">
      <w:pPr>
        <w:numPr>
          <w:ilvl w:val="12"/>
          <w:numId w:val="0"/>
        </w:numPr>
        <w:shd w:val="clear" w:color="000000" w:fill="FFFFFF"/>
        <w:tabs>
          <w:tab w:val="left" w:pos="-3828"/>
          <w:tab w:val="left" w:pos="-2880"/>
          <w:tab w:val="left" w:pos="-2834"/>
        </w:tabs>
        <w:jc w:val="both"/>
        <w:rPr>
          <w:rFonts w:ascii="Arial" w:hAnsi="Arial"/>
          <w:sz w:val="24"/>
        </w:rPr>
      </w:pPr>
    </w:p>
    <w:p w:rsidR="00FE7522" w:rsidRDefault="00FE7522" w:rsidP="00297134">
      <w:pPr>
        <w:numPr>
          <w:ilvl w:val="12"/>
          <w:numId w:val="0"/>
        </w:numPr>
        <w:shd w:val="clear" w:color="000000" w:fill="FFFFFF"/>
        <w:tabs>
          <w:tab w:val="left" w:pos="-3828"/>
          <w:tab w:val="left" w:pos="-2880"/>
          <w:tab w:val="left" w:pos="-283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Desse modo, os servidores poderão solicitar a dispensa da retenção apresentando requerimento específico até o dia 0</w:t>
      </w:r>
      <w:r w:rsidR="00391F07">
        <w:rPr>
          <w:rFonts w:ascii="Arial" w:hAnsi="Arial"/>
          <w:sz w:val="24"/>
        </w:rPr>
        <w:t>8</w:t>
      </w:r>
      <w:r>
        <w:rPr>
          <w:rFonts w:ascii="Arial" w:hAnsi="Arial"/>
          <w:sz w:val="24"/>
        </w:rPr>
        <w:t xml:space="preserve"> de março de 201</w:t>
      </w:r>
      <w:r w:rsidR="00391F07">
        <w:rPr>
          <w:rFonts w:ascii="Arial" w:hAnsi="Arial"/>
          <w:sz w:val="24"/>
        </w:rPr>
        <w:t>3</w:t>
      </w:r>
      <w:r>
        <w:rPr>
          <w:rFonts w:ascii="Arial" w:hAnsi="Arial"/>
          <w:sz w:val="24"/>
        </w:rPr>
        <w:t>,</w:t>
      </w:r>
      <w:r w:rsidR="005D3D57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encaminhado ao Departamento de Recursos Humanos, via protocolo do Tribunal de Contas, anexando cópia do comprovante </w:t>
      </w:r>
      <w:r>
        <w:rPr>
          <w:rFonts w:ascii="Arial" w:hAnsi="Arial"/>
          <w:sz w:val="24"/>
        </w:rPr>
        <w:lastRenderedPageBreak/>
        <w:t>de pagamento da anuidade da OAB ou da contribuição sindical (</w:t>
      </w:r>
      <w:proofErr w:type="spellStart"/>
      <w:r>
        <w:rPr>
          <w:rFonts w:ascii="Arial" w:hAnsi="Arial"/>
          <w:sz w:val="24"/>
        </w:rPr>
        <w:t>ítens</w:t>
      </w:r>
      <w:proofErr w:type="spellEnd"/>
      <w:r>
        <w:rPr>
          <w:rFonts w:ascii="Arial" w:hAnsi="Arial"/>
          <w:sz w:val="24"/>
        </w:rPr>
        <w:t xml:space="preserve"> a e b acima).</w:t>
      </w:r>
    </w:p>
    <w:p w:rsidR="00FE7522" w:rsidRDefault="00FE7522" w:rsidP="00297134">
      <w:pPr>
        <w:numPr>
          <w:ilvl w:val="12"/>
          <w:numId w:val="0"/>
        </w:numPr>
        <w:shd w:val="clear" w:color="000000" w:fill="FFFFFF"/>
        <w:tabs>
          <w:tab w:val="left" w:pos="-3828"/>
          <w:tab w:val="left" w:pos="-2880"/>
          <w:tab w:val="left" w:pos="-2834"/>
        </w:tabs>
        <w:jc w:val="both"/>
        <w:rPr>
          <w:rFonts w:ascii="Arial" w:hAnsi="Arial"/>
          <w:sz w:val="24"/>
        </w:rPr>
      </w:pPr>
    </w:p>
    <w:p w:rsidR="00FE7522" w:rsidRDefault="00FE7522" w:rsidP="00297134">
      <w:pPr>
        <w:numPr>
          <w:ilvl w:val="12"/>
          <w:numId w:val="0"/>
        </w:numPr>
        <w:shd w:val="clear" w:color="000000" w:fill="FFFFFF"/>
        <w:tabs>
          <w:tab w:val="left" w:pos="-3828"/>
          <w:tab w:val="left" w:pos="-2880"/>
          <w:tab w:val="left" w:pos="-283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No caso de pagamento parcelado (como no caso da OAB), o servidor deverá comprovar estar em dia com as parcelas até o dia 0</w:t>
      </w:r>
      <w:r w:rsidR="00391F07">
        <w:rPr>
          <w:rFonts w:ascii="Arial" w:hAnsi="Arial"/>
          <w:sz w:val="24"/>
        </w:rPr>
        <w:t>8</w:t>
      </w:r>
      <w:r>
        <w:rPr>
          <w:rFonts w:ascii="Arial" w:hAnsi="Arial"/>
          <w:sz w:val="24"/>
        </w:rPr>
        <w:t xml:space="preserve"> de março de 201</w:t>
      </w:r>
      <w:r w:rsidR="00391F07">
        <w:rPr>
          <w:rFonts w:ascii="Arial" w:hAnsi="Arial"/>
          <w:sz w:val="24"/>
        </w:rPr>
        <w:t>3</w:t>
      </w:r>
      <w:r w:rsidR="005D3D57">
        <w:rPr>
          <w:rFonts w:ascii="Arial" w:hAnsi="Arial"/>
          <w:sz w:val="24"/>
        </w:rPr>
        <w:t>.</w:t>
      </w:r>
    </w:p>
    <w:p w:rsidR="00FE7522" w:rsidRDefault="00FE7522">
      <w:pPr>
        <w:shd w:val="clear" w:color="000000" w:fill="FFFFFF"/>
        <w:tabs>
          <w:tab w:val="left" w:pos="-3828"/>
          <w:tab w:val="left" w:pos="-2880"/>
          <w:tab w:val="left" w:pos="-2834"/>
        </w:tabs>
        <w:ind w:firstLine="2880"/>
        <w:jc w:val="both"/>
        <w:rPr>
          <w:rFonts w:ascii="Arial" w:hAnsi="Arial"/>
          <w:sz w:val="24"/>
        </w:rPr>
      </w:pPr>
    </w:p>
    <w:p w:rsidR="00FE7522" w:rsidRDefault="00FE7522">
      <w:pPr>
        <w:shd w:val="clear" w:color="000000" w:fill="FFFFFF"/>
        <w:tabs>
          <w:tab w:val="left" w:pos="-3828"/>
          <w:tab w:val="left" w:pos="-2880"/>
          <w:tab w:val="left" w:pos="-2834"/>
        </w:tabs>
        <w:ind w:firstLine="2880"/>
        <w:jc w:val="both"/>
        <w:rPr>
          <w:rFonts w:ascii="Arial" w:hAnsi="Arial"/>
          <w:sz w:val="24"/>
        </w:rPr>
      </w:pPr>
    </w:p>
    <w:p w:rsidR="00FE7522" w:rsidRDefault="00FE7522">
      <w:pPr>
        <w:shd w:val="clear" w:color="000000" w:fill="FFFFFF"/>
        <w:tabs>
          <w:tab w:val="left" w:pos="-3828"/>
          <w:tab w:val="left" w:pos="-2880"/>
          <w:tab w:val="left" w:pos="-2834"/>
        </w:tabs>
        <w:ind w:firstLine="288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Diretoria de Administração e Finanças em </w:t>
      </w:r>
      <w:r w:rsidR="00391F07">
        <w:rPr>
          <w:rFonts w:ascii="Arial" w:hAnsi="Arial"/>
          <w:sz w:val="24"/>
        </w:rPr>
        <w:t>04</w:t>
      </w:r>
      <w:r>
        <w:rPr>
          <w:rFonts w:ascii="Arial" w:hAnsi="Arial"/>
          <w:sz w:val="24"/>
        </w:rPr>
        <w:t xml:space="preserve"> de fevereiro de 201</w:t>
      </w:r>
      <w:r w:rsidR="00391F07">
        <w:rPr>
          <w:rFonts w:ascii="Arial" w:hAnsi="Arial"/>
          <w:sz w:val="24"/>
        </w:rPr>
        <w:t>3</w:t>
      </w:r>
      <w:r>
        <w:rPr>
          <w:rFonts w:ascii="Arial" w:hAnsi="Arial"/>
          <w:sz w:val="24"/>
        </w:rPr>
        <w:t>.</w:t>
      </w:r>
    </w:p>
    <w:p w:rsidR="00FE7522" w:rsidRDefault="00FE7522">
      <w:pPr>
        <w:shd w:val="clear" w:color="000000" w:fill="FFFFFF"/>
        <w:tabs>
          <w:tab w:val="left" w:pos="-3828"/>
          <w:tab w:val="left" w:pos="-2880"/>
          <w:tab w:val="left" w:pos="-2834"/>
        </w:tabs>
        <w:jc w:val="both"/>
        <w:rPr>
          <w:rFonts w:ascii="Arial" w:hAnsi="Arial"/>
          <w:b/>
          <w:sz w:val="28"/>
        </w:rPr>
      </w:pPr>
    </w:p>
    <w:p w:rsidR="00FE7522" w:rsidRDefault="00FE7522">
      <w:pPr>
        <w:shd w:val="clear" w:color="000000" w:fill="FFFFFF"/>
        <w:tabs>
          <w:tab w:val="left" w:pos="-3828"/>
          <w:tab w:val="left" w:pos="-2880"/>
          <w:tab w:val="left" w:pos="-2834"/>
        </w:tabs>
        <w:jc w:val="both"/>
        <w:rPr>
          <w:rFonts w:ascii="Arial" w:hAnsi="Arial"/>
          <w:b/>
          <w:sz w:val="28"/>
        </w:rPr>
      </w:pPr>
    </w:p>
    <w:p w:rsidR="00FE7522" w:rsidRDefault="00FE7522">
      <w:pPr>
        <w:shd w:val="clear" w:color="000000" w:fill="FFFFFF"/>
        <w:tabs>
          <w:tab w:val="left" w:pos="-3828"/>
          <w:tab w:val="left" w:pos="-2880"/>
          <w:tab w:val="left" w:pos="-2834"/>
        </w:tabs>
        <w:jc w:val="both"/>
        <w:rPr>
          <w:rFonts w:ascii="Arial" w:hAnsi="Arial"/>
          <w:b/>
          <w:sz w:val="36"/>
        </w:rPr>
      </w:pPr>
    </w:p>
    <w:p w:rsidR="00FE7522" w:rsidRDefault="00FE7522">
      <w:pPr>
        <w:shd w:val="clear" w:color="000000" w:fill="FFFFFF"/>
        <w:tabs>
          <w:tab w:val="left" w:pos="-3828"/>
          <w:tab w:val="left" w:pos="-2880"/>
          <w:tab w:val="left" w:pos="-2834"/>
        </w:tabs>
        <w:jc w:val="both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28"/>
        </w:rPr>
        <w:t>JOSÉ ROBERTO QUEIROZ</w:t>
      </w:r>
    </w:p>
    <w:p w:rsidR="00FE7522" w:rsidRDefault="00FE7522">
      <w:pPr>
        <w:shd w:val="clear" w:color="000000" w:fill="FFFFFF"/>
        <w:tabs>
          <w:tab w:val="left" w:pos="-3828"/>
          <w:tab w:val="left" w:pos="-2880"/>
          <w:tab w:val="left" w:pos="-2834"/>
        </w:tabs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  <w:t xml:space="preserve">     DIRETOR DE ADM. E FINANÇAS</w:t>
      </w:r>
    </w:p>
    <w:p w:rsidR="00FE7522" w:rsidRDefault="00FE7522">
      <w:pPr>
        <w:shd w:val="clear" w:color="000000" w:fill="FFFFFF"/>
        <w:tabs>
          <w:tab w:val="left" w:pos="-3828"/>
          <w:tab w:val="left" w:pos="-2880"/>
          <w:tab w:val="left" w:pos="-2834"/>
        </w:tabs>
        <w:jc w:val="both"/>
      </w:pPr>
    </w:p>
    <w:sectPr w:rsidR="00FE7522">
      <w:pgSz w:w="11907" w:h="16840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522" w:rsidRDefault="00FE7522">
      <w:r>
        <w:separator/>
      </w:r>
    </w:p>
  </w:endnote>
  <w:endnote w:type="continuationSeparator" w:id="0">
    <w:p w:rsidR="00FE7522" w:rsidRDefault="00FE75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522" w:rsidRDefault="00FE7522">
      <w:r>
        <w:separator/>
      </w:r>
    </w:p>
  </w:footnote>
  <w:footnote w:type="continuationSeparator" w:id="0">
    <w:p w:rsidR="00FE7522" w:rsidRDefault="00FE75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297134"/>
    <w:rsid w:val="00297134"/>
    <w:rsid w:val="00391F07"/>
    <w:rsid w:val="003B42E0"/>
    <w:rsid w:val="005D3D57"/>
    <w:rsid w:val="008C1E24"/>
    <w:rsid w:val="00FE7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abs>
        <w:tab w:val="left" w:pos="0"/>
      </w:tabs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nkVisitado">
    <w:name w:val="FollowedHyperlink"/>
    <w:basedOn w:val="Fontepargpadro"/>
    <w:uiPriority w:val="99"/>
    <w:semiHidden/>
    <w:unhideWhenUsed/>
    <w:rsid w:val="008C1E24"/>
    <w:rPr>
      <w:color w:val="800080"/>
      <w:u w:val="single"/>
    </w:rPr>
  </w:style>
  <w:style w:type="character" w:styleId="Fontepargpadro0">
    <w:name w:val="Default Paragraph Font"/>
    <w:semiHidden/>
    <w:rPr>
      <w:color w:val="000000"/>
      <w:spacing w:val="0"/>
      <w:sz w:val="24"/>
    </w:rPr>
  </w:style>
  <w:style w:type="paragraph" w:styleId="Corpodetexto">
    <w:name w:val="Body Text"/>
    <w:basedOn w:val="Normal"/>
    <w:semiHidden/>
    <w:pPr>
      <w:jc w:val="both"/>
    </w:pPr>
    <w:rPr>
      <w:sz w:val="24"/>
    </w:rPr>
  </w:style>
  <w:style w:type="character" w:styleId="Hyperlink">
    <w:name w:val="Hyperlink"/>
    <w:semiHidden/>
    <w:rPr>
      <w:color w:val="0000FF"/>
      <w:spacing w:val="0"/>
      <w:sz w:val="24"/>
      <w:u w:val="single"/>
    </w:rPr>
  </w:style>
  <w:style w:type="paragraph" w:styleId="Recuodecorpodetexto3">
    <w:name w:val="Body Text Indent 3"/>
    <w:basedOn w:val="Normal"/>
    <w:pPr>
      <w:tabs>
        <w:tab w:val="left" w:pos="-3686"/>
      </w:tabs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pPr>
      <w:tabs>
        <w:tab w:val="left" w:pos="-3686"/>
      </w:tabs>
      <w:jc w:val="both"/>
    </w:pPr>
    <w:rPr>
      <w:sz w:val="24"/>
    </w:rPr>
  </w:style>
  <w:style w:type="paragraph" w:styleId="Recuodecorpodetexto">
    <w:name w:val="Body Text Indent"/>
    <w:basedOn w:val="Normal"/>
    <w:pPr>
      <w:tabs>
        <w:tab w:val="left" w:pos="-3119"/>
      </w:tabs>
      <w:jc w:val="both"/>
    </w:pPr>
    <w:rPr>
      <w:sz w:val="24"/>
    </w:rPr>
  </w:style>
  <w:style w:type="paragraph" w:styleId="Ttulo9">
    <w:name w:val="heading 9"/>
    <w:basedOn w:val="Normal"/>
    <w:pPr>
      <w:keepNext/>
      <w:tabs>
        <w:tab w:val="left" w:pos="-3402"/>
      </w:tabs>
      <w:jc w:val="both"/>
    </w:pPr>
    <w:rPr>
      <w:rFonts w:ascii="Arial" w:hAnsi="Arial"/>
      <w:sz w:val="24"/>
    </w:rPr>
  </w:style>
  <w:style w:type="paragraph" w:styleId="Ttulo8">
    <w:name w:val="heading 8"/>
    <w:basedOn w:val="Normal"/>
    <w:pPr>
      <w:keepNext/>
    </w:pPr>
    <w:rPr>
      <w:b/>
    </w:rPr>
  </w:style>
  <w:style w:type="paragraph" w:styleId="Ttulo7">
    <w:name w:val="heading 7"/>
    <w:basedOn w:val="Normal"/>
    <w:pPr>
      <w:keepNext/>
      <w:jc w:val="both"/>
    </w:pPr>
    <w:rPr>
      <w:rFonts w:ascii="Arial" w:hAnsi="Arial"/>
      <w:b/>
      <w:sz w:val="24"/>
    </w:rPr>
  </w:style>
  <w:style w:type="paragraph" w:styleId="Ttulo6">
    <w:name w:val="heading 6"/>
    <w:basedOn w:val="Normal"/>
    <w:pPr>
      <w:keepNext/>
      <w:tabs>
        <w:tab w:val="left" w:pos="-2977"/>
      </w:tabs>
      <w:jc w:val="both"/>
    </w:pPr>
    <w:rPr>
      <w:b/>
      <w:sz w:val="28"/>
    </w:rPr>
  </w:style>
  <w:style w:type="paragraph" w:styleId="Ttulo5">
    <w:name w:val="heading 5"/>
    <w:basedOn w:val="Normal"/>
    <w:pPr>
      <w:keepNext/>
      <w:tabs>
        <w:tab w:val="left" w:pos="-3261"/>
      </w:tabs>
      <w:jc w:val="both"/>
    </w:pPr>
    <w:rPr>
      <w:sz w:val="24"/>
    </w:rPr>
  </w:style>
  <w:style w:type="paragraph" w:styleId="Ttulo4">
    <w:name w:val="heading 4"/>
    <w:basedOn w:val="Normal"/>
    <w:pPr>
      <w:keepNext/>
      <w:jc w:val="both"/>
    </w:pPr>
    <w:rPr>
      <w:sz w:val="24"/>
    </w:rPr>
  </w:style>
  <w:style w:type="paragraph" w:styleId="Ttulo3">
    <w:name w:val="heading 3"/>
    <w:basedOn w:val="Normal"/>
    <w:pPr>
      <w:keepNext/>
      <w:tabs>
        <w:tab w:val="left" w:pos="-2835"/>
      </w:tabs>
      <w:jc w:val="both"/>
    </w:pPr>
    <w:rPr>
      <w:sz w:val="24"/>
    </w:rPr>
  </w:style>
  <w:style w:type="paragraph" w:styleId="Ttulo2">
    <w:name w:val="heading 2"/>
    <w:basedOn w:val="Normal"/>
    <w:pPr>
      <w:keepNext/>
    </w:pPr>
    <w:rPr>
      <w:b/>
      <w:sz w:val="24"/>
    </w:rPr>
  </w:style>
  <w:style w:type="paragraph" w:styleId="Ttulo1">
    <w:name w:val="heading 1"/>
    <w:basedOn w:val="Normal"/>
    <w:pPr>
      <w:keepNext/>
    </w:pPr>
    <w:rPr>
      <w:rFonts w:ascii="Arial Rounded MT Bold" w:hAnsi="Arial Rounded MT Bold"/>
      <w:sz w:val="24"/>
    </w:rPr>
  </w:style>
  <w:style w:type="paragraph" w:customStyle="1" w:styleId="Textopadro">
    <w:name w:val="Texto padrão"/>
    <w:basedOn w:val="Normal"/>
    <w:rPr>
      <w:sz w:val="24"/>
      <w:lang w:val="en-US"/>
    </w:rPr>
  </w:style>
  <w:style w:type="character" w:customStyle="1" w:styleId="ViewedAnchorA">
    <w:name w:val="Viewed Anchor (A)"/>
    <w:rPr>
      <w:color w:val="800000"/>
      <w:spacing w:val="0"/>
      <w:sz w:val="24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1F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1F0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tecbo.gov.br/cbosite/pages/regulamentacao.js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TCSC</Company>
  <LinksUpToDate>false</LinksUpToDate>
  <CharactersWithSpaces>2445</CharactersWithSpaces>
  <SharedDoc>false</SharedDoc>
  <HLinks>
    <vt:vector size="6" baseType="variant">
      <vt:variant>
        <vt:i4>2031635</vt:i4>
      </vt:variant>
      <vt:variant>
        <vt:i4>0</vt:i4>
      </vt:variant>
      <vt:variant>
        <vt:i4>0</vt:i4>
      </vt:variant>
      <vt:variant>
        <vt:i4>5</vt:i4>
      </vt:variant>
      <vt:variant>
        <vt:lpwstr>http://www.mtecbo.gov.br/cbosite/pages/regulamentacao.jsf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TCSC</dc:creator>
  <cp:lastModifiedBy>TCSC</cp:lastModifiedBy>
  <cp:revision>3</cp:revision>
  <dcterms:created xsi:type="dcterms:W3CDTF">2013-02-04T19:37:00Z</dcterms:created>
  <dcterms:modified xsi:type="dcterms:W3CDTF">2013-02-04T19:40:00Z</dcterms:modified>
</cp:coreProperties>
</file>